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Риск-менеджмент в системе обеспечения экономической безопасности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3D42DD" w:rsidR="00A77598" w:rsidRPr="00A35383" w:rsidRDefault="00A353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A225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5C">
              <w:rPr>
                <w:rFonts w:ascii="Times New Roman" w:hAnsi="Times New Roman" w:cs="Times New Roman"/>
                <w:sz w:val="20"/>
                <w:szCs w:val="20"/>
              </w:rPr>
              <w:t>к.э.н, Андреева Дарья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FB6AF6" w:rsidR="004475DA" w:rsidRPr="00A35383" w:rsidRDefault="00A353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919A3C" w14:textId="4E52D9E2" w:rsidR="00CA225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78822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_Toc196478822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3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44D6B03C" w14:textId="15B4C1EF" w:rsidR="00CA225C" w:rsidRDefault="008A27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23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_Toc196478823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3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7B33CFBA" w14:textId="05C4CC74" w:rsidR="00CA225C" w:rsidRDefault="008A27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24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_Toc196478824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3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0DB4FBEC" w14:textId="0AC4E4A0" w:rsidR="00CA225C" w:rsidRDefault="008A27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25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_Toc196478825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4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73314F31" w14:textId="2F6BF305" w:rsidR="00CA225C" w:rsidRDefault="008A27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26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_Toc196478826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5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45B80F6D" w14:textId="7CB8D13A" w:rsidR="00CA225C" w:rsidRDefault="008A27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27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_Toc196478827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5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41348F8E" w14:textId="09157356" w:rsidR="00CA225C" w:rsidRDefault="008A27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28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_Toc196478828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6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187414F4" w14:textId="0E4437A5" w:rsidR="00CA225C" w:rsidRDefault="008A27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29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_Toc196478829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6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38548A5D" w14:textId="64BF8A1C" w:rsidR="00CA225C" w:rsidRDefault="008A27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30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_Toc196478830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7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1E4CF4B1" w14:textId="4ECF535E" w:rsidR="00CA225C" w:rsidRDefault="008A27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31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_Toc196478831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8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0953FB27" w14:textId="2E22DDE3" w:rsidR="00CA225C" w:rsidRDefault="008A27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32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_Toc196478832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9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75D6BA44" w14:textId="171F34D0" w:rsidR="00CA225C" w:rsidRDefault="008A27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33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_Toc196478833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11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49B4BE42" w14:textId="141B5389" w:rsidR="00CA225C" w:rsidRDefault="008A27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34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_Toc196478834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11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35F3D80C" w14:textId="3F6102AB" w:rsidR="00CA225C" w:rsidRDefault="008A27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35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_Toc196478835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13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66B417AD" w14:textId="1CAFF1C2" w:rsidR="00CA225C" w:rsidRDefault="008A27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36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_Toc196478836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13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25FD4774" w14:textId="4CA23FDE" w:rsidR="00CA225C" w:rsidRDefault="008A27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37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_Toc196478837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13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00AAED6F" w14:textId="6D852EB7" w:rsidR="00CA225C" w:rsidRDefault="008A27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38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_Toc196478838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13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386368F5" w14:textId="65D31C83" w:rsidR="00CA225C" w:rsidRDefault="008A27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8839" w:history="1">
            <w:r w:rsidR="00CA225C" w:rsidRPr="004A3BE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A225C">
              <w:rPr>
                <w:noProof/>
                <w:webHidden/>
              </w:rPr>
              <w:tab/>
            </w:r>
            <w:r w:rsidR="00CA225C">
              <w:rPr>
                <w:noProof/>
                <w:webHidden/>
              </w:rPr>
              <w:fldChar w:fldCharType="begin"/>
            </w:r>
            <w:r w:rsidR="00CA225C">
              <w:rPr>
                <w:noProof/>
                <w:webHidden/>
              </w:rPr>
              <w:instrText xml:space="preserve"> PAGEREF _Toc196478839 \h </w:instrText>
            </w:r>
            <w:r w:rsidR="00CA225C">
              <w:rPr>
                <w:noProof/>
                <w:webHidden/>
              </w:rPr>
            </w:r>
            <w:r w:rsidR="00CA225C">
              <w:rPr>
                <w:noProof/>
                <w:webHidden/>
              </w:rPr>
              <w:fldChar w:fldCharType="separate"/>
            </w:r>
            <w:r w:rsidR="00CA225C">
              <w:rPr>
                <w:noProof/>
                <w:webHidden/>
              </w:rPr>
              <w:t>13</w:t>
            </w:r>
            <w:r w:rsidR="00CA225C">
              <w:rPr>
                <w:noProof/>
                <w:webHidden/>
              </w:rPr>
              <w:fldChar w:fldCharType="end"/>
            </w:r>
          </w:hyperlink>
        </w:p>
        <w:p w14:paraId="0DD49713" w14:textId="1A39DAF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478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всесторонних и глубоких знаний о риск-менеджменте и экономической безопасности в деятельности экономических субъектов, а также развитие практического умения обеспечения их экономической безопасности в условиях неопределенности и построения эффективной системы риск-менеджмента.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478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Риск-менеджмент в системе обеспечения экономической безопасности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30F1164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478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2BF1755F" w14:textId="77777777" w:rsidR="005F7FCB" w:rsidRPr="005F7FCB" w:rsidRDefault="005F7FCB" w:rsidP="005F7FCB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A225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A22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A225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A225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A225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A225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225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A22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A225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A22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</w:rPr>
              <w:t>ПК-3 - Способен к организации и реализации программы управления рисками в организации, в том числе и в сфере отмывания преступных доходов и финансирования терроризма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A22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225C">
              <w:rPr>
                <w:rFonts w:ascii="Times New Roman" w:hAnsi="Times New Roman" w:cs="Times New Roman"/>
                <w:lang w:bidi="ru-RU"/>
              </w:rPr>
              <w:t>ПК-3.1 - Способен к организации и реализация риск-менеджмента в системе обеспечения экономической безопасности, в том числе и в сфере отмывания преступных доходов и финансирования терроризма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A22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A225C">
              <w:rPr>
                <w:rFonts w:ascii="Times New Roman" w:hAnsi="Times New Roman" w:cs="Times New Roman"/>
              </w:rPr>
              <w:t>Теоретические основы риск-менеджмента в системе экономической безопасности организации.</w:t>
            </w:r>
            <w:r w:rsidR="00316402" w:rsidRPr="00CA225C">
              <w:rPr>
                <w:rFonts w:ascii="Times New Roman" w:hAnsi="Times New Roman" w:cs="Times New Roman"/>
              </w:rPr>
              <w:br/>
              <w:t>Международные и российские нормативно-правовые акты в сфере противодействия отмыванию доходов (ПОД/ФТ) и финансированию терроризма.</w:t>
            </w:r>
            <w:r w:rsidR="00316402" w:rsidRPr="00CA225C">
              <w:rPr>
                <w:rFonts w:ascii="Times New Roman" w:hAnsi="Times New Roman" w:cs="Times New Roman"/>
              </w:rPr>
              <w:br/>
              <w:t>Методологию идентификации, оценки и управления рисками в области экономической безопасности.</w:t>
            </w:r>
            <w:r w:rsidR="00316402" w:rsidRPr="00CA225C">
              <w:rPr>
                <w:rFonts w:ascii="Times New Roman" w:hAnsi="Times New Roman" w:cs="Times New Roman"/>
              </w:rPr>
              <w:br/>
              <w:t>Современные технологии и инструменты мониторинга и минимизации рисков ПОД/ФТ.</w:t>
            </w:r>
            <w:r w:rsidR="00316402" w:rsidRPr="00CA225C">
              <w:rPr>
                <w:rFonts w:ascii="Times New Roman" w:hAnsi="Times New Roman" w:cs="Times New Roman"/>
              </w:rPr>
              <w:br/>
              <w:t>Отраслевые особенности проявления рисков в различных секторах экономики.</w:t>
            </w:r>
            <w:r w:rsidRPr="00CA225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A22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A225C">
              <w:rPr>
                <w:rFonts w:ascii="Times New Roman" w:hAnsi="Times New Roman" w:cs="Times New Roman"/>
              </w:rPr>
              <w:t>Разрабатывать и внедрять программы риск-менеджмента в организации.</w:t>
            </w:r>
            <w:r w:rsidR="00FD518F" w:rsidRPr="00CA225C">
              <w:rPr>
                <w:rFonts w:ascii="Times New Roman" w:hAnsi="Times New Roman" w:cs="Times New Roman"/>
              </w:rPr>
              <w:br/>
              <w:t>Проводить комплексный анализ рисков экономической безопасности, включая риски ПОД/ФТ.</w:t>
            </w:r>
            <w:r w:rsidR="00FD518F" w:rsidRPr="00CA225C">
              <w:rPr>
                <w:rFonts w:ascii="Times New Roman" w:hAnsi="Times New Roman" w:cs="Times New Roman"/>
              </w:rPr>
              <w:br/>
              <w:t>Применять методы оценки рисков с использованием количественных и качественных показателей.</w:t>
            </w:r>
            <w:r w:rsidR="00FD518F" w:rsidRPr="00CA225C">
              <w:rPr>
                <w:rFonts w:ascii="Times New Roman" w:hAnsi="Times New Roman" w:cs="Times New Roman"/>
              </w:rPr>
              <w:br/>
              <w:t>Разрабатывать систему внутреннего контроля для противодействия легагализации преступных доходов.</w:t>
            </w:r>
            <w:r w:rsidR="00FD518F" w:rsidRPr="00CA225C">
              <w:rPr>
                <w:rFonts w:ascii="Times New Roman" w:hAnsi="Times New Roman" w:cs="Times New Roman"/>
              </w:rPr>
              <w:br/>
              <w:t>Формировать отчетную документацию по требованиям регуляторов в сфере ПОД/ФТ.</w:t>
            </w:r>
            <w:r w:rsidRPr="00CA225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A225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A225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A225C">
              <w:rPr>
                <w:rFonts w:ascii="Times New Roman" w:hAnsi="Times New Roman" w:cs="Times New Roman"/>
              </w:rPr>
              <w:t>Навыками разработки и актуализации политики риск-менеджмента организации.</w:t>
            </w:r>
            <w:r w:rsidR="00FD518F" w:rsidRPr="00CA225C">
              <w:rPr>
                <w:rFonts w:ascii="Times New Roman" w:hAnsi="Times New Roman" w:cs="Times New Roman"/>
              </w:rPr>
              <w:br/>
              <w:t>Методами сценарного анализа и прогнозирования рисковых ситуаций.</w:t>
            </w:r>
            <w:r w:rsidR="00FD518F" w:rsidRPr="00CA225C">
              <w:rPr>
                <w:rFonts w:ascii="Times New Roman" w:hAnsi="Times New Roman" w:cs="Times New Roman"/>
              </w:rPr>
              <w:br/>
            </w:r>
            <w:r w:rsidR="00FD518F" w:rsidRPr="00CA225C">
              <w:rPr>
                <w:rFonts w:ascii="Times New Roman" w:hAnsi="Times New Roman" w:cs="Times New Roman"/>
              </w:rPr>
              <w:lastRenderedPageBreak/>
              <w:t>Технологиями автоматизированного мониторинга подозрительных операций.</w:t>
            </w:r>
            <w:r w:rsidR="00FD518F" w:rsidRPr="00CA225C">
              <w:rPr>
                <w:rFonts w:ascii="Times New Roman" w:hAnsi="Times New Roman" w:cs="Times New Roman"/>
              </w:rPr>
              <w:br/>
              <w:t>Практикой взаимодействия с контролирующими органами по вопросам ПОД/ФТ.</w:t>
            </w:r>
            <w:r w:rsidR="00FD518F" w:rsidRPr="00CA225C">
              <w:rPr>
                <w:rFonts w:ascii="Times New Roman" w:hAnsi="Times New Roman" w:cs="Times New Roman"/>
              </w:rPr>
              <w:br/>
              <w:t>Навыками проведения тренингов по противодействию легализации преступных доходов для персонала.</w:t>
            </w:r>
            <w:r w:rsidRPr="00CA225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A225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788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Понятие, сущность и содержание  рисков и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содержание  рисков и их оценки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4AF9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ED7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Научные основы риск-менеджмента. Современный риск-менеджмент. Риск-менеджмент при обеспечении экономической безопасности субъектов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3BD0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Риск-менеджмент как отрасль научного управления. История возникновения и общие подходы к риск-менеджменту. Краткая история и современное состояние риск-менеджмента. Фрактальный подход. Целостная модель организации. Ценности и экспозиции.Смысл и ситуации рискования. Эффекты целостного риск-менеджмента. Рисковый ландшафт и рисковые характеристики организации. Многоликий феномен риска. Аспекты риска, потерь и бенефитов. Основы управленческой диагностики рисков. Формула риска. Преобразование базовой продвинутой формулы риска. Таксономия рисков. Пирамида риска: факторы, симптомы, бифуркации,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A793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D266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C15C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1575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1B43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E25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механизм риск-менеджмента. Человеческий аспект управления рисками. Финансовый аспект управления рисками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F244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функции риск-менеджмента в управлении фирмой. Распределение обязанностей по управлению рисками: карты распределения ответственности. Защита от стратегических рисков. Подпрограмма защиты непрерывности бизнеса. Рутинный риск-менеджмент. Чрезвычайная ситуация. Индивидуальное и групповое поведение людей и управление рисками. Психологические особенности реакции на риск. Риски работы с кадрами. Оценка рискового аппетита сотрудников. Оценка потребного и фактического аппетита рисковой позиции. Риск, доходность и стоимость фирмы. Методы финансирования программы управления риском. Финансовые инструменты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2A10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B68E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7EEA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F932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18A22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0838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4. Инструментарий управления рисками. Методология оценки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5EFE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превентивного и реактивного управления рисками. Методологии оценки рисков: предпринимательской деятельности, банкротства предприятия, снижения финансовой устойчивости предприятия, снижения деловой активности предприятия, снижения эффективности производственной деятельности предприятия, снижения эффективности кадрового обеспечения предприятия, снижения эффективности маркетинговой деятельности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6B4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991D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1A2D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4C84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C5AD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6349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учета рисков при обосновании долгосрочных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1636CC" w14:textId="381FFD33" w:rsidR="004475DA" w:rsidRPr="00352B6F" w:rsidRDefault="00CA225C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учета рисков при обосновании долгосрочных проектов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4105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968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A03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C0A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A183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9F12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Стандартизация в риск-менеджменте. Правила обращения с рисками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A4C8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стандартизации управления рисками. Стандартизация системы риск-менеджмента предприятия. Принципы стандартизации риск-менеджмента. Стратегический риск-менеджмент.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B83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A935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A0A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2702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7882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788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A225C">
              <w:rPr>
                <w:rFonts w:ascii="Times New Roman" w:hAnsi="Times New Roman" w:cs="Times New Roman"/>
                <w:sz w:val="24"/>
                <w:szCs w:val="24"/>
              </w:rPr>
              <w:t xml:space="preserve">Белов, П. Г. Системный анализ и программно-целевой менеджмент рисков : учебник и практикум для бакалавриата и магистратуры / П. Г. Белов. — Москва : Издательство Юрайт, 2022. — 289 с. — (Бакалавр и магистр.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 курс).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A27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https://urait.ru/bcode/493057 </w:t>
              </w:r>
            </w:hyperlink>
          </w:p>
        </w:tc>
      </w:tr>
      <w:tr w:rsidR="00262CF0" w:rsidRPr="007E6725" w14:paraId="1B1DC4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3ABF5E" w14:textId="77777777" w:rsidR="00262CF0" w:rsidRPr="00CA22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A225C">
              <w:rPr>
                <w:rFonts w:ascii="Times New Roman" w:hAnsi="Times New Roman" w:cs="Times New Roman"/>
                <w:sz w:val="24"/>
                <w:szCs w:val="24"/>
              </w:rPr>
              <w:t>Растова, Юлия Ивановна. Риск-менеджмент : учебное пособие ; Министерство образования и науки Российской Федерации, Санкт-Петербургский гос. экономический ун-т, Кафедра менеджмента организации / Ю.И.Растова, М.А.Растов. 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CC2E6D" w14:textId="77777777" w:rsidR="00262CF0" w:rsidRPr="007E6725" w:rsidRDefault="008A27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B6%D0%BC%D0%B5%D0%BD%D1%82.pdf</w:t>
              </w:r>
            </w:hyperlink>
          </w:p>
        </w:tc>
      </w:tr>
      <w:tr w:rsidR="00262CF0" w:rsidRPr="007E6725" w14:paraId="730D4E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0FA3E0" w14:textId="77777777" w:rsidR="00262CF0" w:rsidRPr="00CA22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A225C">
              <w:rPr>
                <w:rFonts w:ascii="Times New Roman" w:hAnsi="Times New Roman" w:cs="Times New Roman"/>
                <w:sz w:val="24"/>
                <w:szCs w:val="24"/>
              </w:rPr>
              <w:t xml:space="preserve">Вяткин, В. Н. Риск-менеджмент : учебник / В. Н. Вяткин, В. А. Гамза, Ф. В. Маевский. — 2-е изд., перераб. и доп. — </w:t>
            </w:r>
            <w:r w:rsidRPr="00CA22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Москва : Издательство Юрайт, 2022. — 365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0E9F97" w14:textId="77777777" w:rsidR="00262CF0" w:rsidRPr="007E6725" w:rsidRDefault="008A27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https://urait.ru/bcode/489098</w:t>
              </w:r>
            </w:hyperlink>
          </w:p>
        </w:tc>
      </w:tr>
      <w:tr w:rsidR="00262CF0" w:rsidRPr="007E6725" w14:paraId="74F32C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7D0AE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A225C">
              <w:rPr>
                <w:rFonts w:ascii="Times New Roman" w:hAnsi="Times New Roman" w:cs="Times New Roman"/>
                <w:sz w:val="24"/>
                <w:szCs w:val="24"/>
              </w:rPr>
              <w:t xml:space="preserve">Основы риск-менеджмента / Д. Гэлаи, М. Кроуи, В. Б. Минасян, Р. Марк. — Москва : Издательство Юрайт, 2022. — 390 с. — (Бакалавр.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 курс).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1767BA" w14:textId="77777777" w:rsidR="00262CF0" w:rsidRPr="007E6725" w:rsidRDefault="008A27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https://urait.ru/bcode/488656</w:t>
              </w:r>
            </w:hyperlink>
          </w:p>
        </w:tc>
      </w:tr>
      <w:tr w:rsidR="00262CF0" w:rsidRPr="005F7FCB" w14:paraId="62D25F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FC33F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A225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инвестиционными проектами в условиях риска и неопределенности : учебное пособие / Л. Г. Матвеева, А. Ю. Никитаева, О. А. Чернова, Е. Ф. Щипанов Управление инвестиционными проектами в условиях риска и неопределенности, 2025-01-01Электрон.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 файл)Ростов-на-Дону : Издательство Южного федерального университета, 2015 299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62EAB0" w14:textId="77777777" w:rsidR="00262CF0" w:rsidRPr="007E6725" w:rsidRDefault="008A27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A225C">
                <w:rPr>
                  <w:color w:val="00008B"/>
                  <w:u w:val="single"/>
                  <w:lang w:val="en-US"/>
                </w:rPr>
                <w:t>https://www.iprbookshop.ru/78712.html</w:t>
              </w:r>
            </w:hyperlink>
          </w:p>
        </w:tc>
      </w:tr>
    </w:tbl>
    <w:p w14:paraId="570D085B" w14:textId="77777777" w:rsidR="0091168E" w:rsidRPr="00CA225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788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9A0D67" w14:textId="77777777" w:rsidTr="007B550D">
        <w:tc>
          <w:tcPr>
            <w:tcW w:w="9345" w:type="dxa"/>
          </w:tcPr>
          <w:p w14:paraId="3B9BB5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921AB3" w14:textId="77777777" w:rsidTr="007B550D">
        <w:tc>
          <w:tcPr>
            <w:tcW w:w="9345" w:type="dxa"/>
          </w:tcPr>
          <w:p w14:paraId="34010E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A697BD" w14:textId="77777777" w:rsidTr="007B550D">
        <w:tc>
          <w:tcPr>
            <w:tcW w:w="9345" w:type="dxa"/>
          </w:tcPr>
          <w:p w14:paraId="2B170E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85DAF3" w14:textId="77777777" w:rsidTr="007B550D">
        <w:tc>
          <w:tcPr>
            <w:tcW w:w="9345" w:type="dxa"/>
          </w:tcPr>
          <w:p w14:paraId="4817FE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788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A27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78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A225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A225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225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A225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225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A225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A22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225C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CA225C">
              <w:rPr>
                <w:sz w:val="22"/>
                <w:szCs w:val="22"/>
                <w:lang w:val="en-US"/>
              </w:rPr>
              <w:t>Intel</w:t>
            </w:r>
            <w:r w:rsidRPr="00CA225C">
              <w:rPr>
                <w:sz w:val="22"/>
                <w:szCs w:val="22"/>
              </w:rPr>
              <w:t xml:space="preserve">  </w:t>
            </w:r>
            <w:r w:rsidRPr="00CA225C">
              <w:rPr>
                <w:sz w:val="22"/>
                <w:szCs w:val="22"/>
                <w:lang w:val="en-US"/>
              </w:rPr>
              <w:t>I</w:t>
            </w:r>
            <w:r w:rsidRPr="00CA225C">
              <w:rPr>
                <w:sz w:val="22"/>
                <w:szCs w:val="22"/>
              </w:rPr>
              <w:t>5-7400/8+8/1</w:t>
            </w:r>
            <w:r w:rsidRPr="00CA225C">
              <w:rPr>
                <w:sz w:val="22"/>
                <w:szCs w:val="22"/>
                <w:lang w:val="en-US"/>
              </w:rPr>
              <w:t>Tb</w:t>
            </w:r>
            <w:r w:rsidRPr="00CA225C">
              <w:rPr>
                <w:sz w:val="22"/>
                <w:szCs w:val="22"/>
              </w:rPr>
              <w:t>/</w:t>
            </w:r>
            <w:r w:rsidRPr="00CA225C">
              <w:rPr>
                <w:sz w:val="22"/>
                <w:szCs w:val="22"/>
                <w:lang w:val="en-US"/>
              </w:rPr>
              <w:t>GT</w:t>
            </w:r>
            <w:r w:rsidRPr="00CA225C">
              <w:rPr>
                <w:sz w:val="22"/>
                <w:szCs w:val="22"/>
              </w:rPr>
              <w:t>710-2</w:t>
            </w:r>
            <w:r w:rsidRPr="00CA225C">
              <w:rPr>
                <w:sz w:val="22"/>
                <w:szCs w:val="22"/>
                <w:lang w:val="en-US"/>
              </w:rPr>
              <w:t>Gb</w:t>
            </w:r>
            <w:r w:rsidRPr="00CA225C">
              <w:rPr>
                <w:sz w:val="22"/>
                <w:szCs w:val="22"/>
              </w:rPr>
              <w:t>/</w:t>
            </w:r>
            <w:r w:rsidRPr="00CA225C">
              <w:rPr>
                <w:sz w:val="22"/>
                <w:szCs w:val="22"/>
                <w:lang w:val="en-US"/>
              </w:rPr>
              <w:t>DELL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S</w:t>
            </w:r>
            <w:r w:rsidRPr="00CA225C">
              <w:rPr>
                <w:sz w:val="22"/>
                <w:szCs w:val="22"/>
              </w:rPr>
              <w:t>2218</w:t>
            </w:r>
            <w:r w:rsidRPr="00CA225C">
              <w:rPr>
                <w:sz w:val="22"/>
                <w:szCs w:val="22"/>
                <w:lang w:val="en-US"/>
              </w:rPr>
              <w:t>H</w:t>
            </w:r>
            <w:r w:rsidRPr="00CA225C">
              <w:rPr>
                <w:sz w:val="22"/>
                <w:szCs w:val="22"/>
              </w:rPr>
              <w:t xml:space="preserve"> - 21 шт., Ноутбук </w:t>
            </w:r>
            <w:r w:rsidRPr="00CA225C">
              <w:rPr>
                <w:sz w:val="22"/>
                <w:szCs w:val="22"/>
                <w:lang w:val="en-US"/>
              </w:rPr>
              <w:t>HP</w:t>
            </w:r>
            <w:r w:rsidRPr="00CA225C">
              <w:rPr>
                <w:sz w:val="22"/>
                <w:szCs w:val="22"/>
              </w:rPr>
              <w:t xml:space="preserve"> 250 </w:t>
            </w:r>
            <w:r w:rsidRPr="00CA225C">
              <w:rPr>
                <w:sz w:val="22"/>
                <w:szCs w:val="22"/>
                <w:lang w:val="en-US"/>
              </w:rPr>
              <w:t>G</w:t>
            </w:r>
            <w:r w:rsidRPr="00CA225C">
              <w:rPr>
                <w:sz w:val="22"/>
                <w:szCs w:val="22"/>
              </w:rPr>
              <w:t>6 1</w:t>
            </w:r>
            <w:r w:rsidRPr="00CA225C">
              <w:rPr>
                <w:sz w:val="22"/>
                <w:szCs w:val="22"/>
                <w:lang w:val="en-US"/>
              </w:rPr>
              <w:t>WY</w:t>
            </w:r>
            <w:r w:rsidRPr="00CA225C">
              <w:rPr>
                <w:sz w:val="22"/>
                <w:szCs w:val="22"/>
              </w:rPr>
              <w:t>58</w:t>
            </w:r>
            <w:r w:rsidRPr="00CA225C">
              <w:rPr>
                <w:sz w:val="22"/>
                <w:szCs w:val="22"/>
                <w:lang w:val="en-US"/>
              </w:rPr>
              <w:t>EA</w:t>
            </w:r>
            <w:r w:rsidRPr="00CA225C">
              <w:rPr>
                <w:sz w:val="22"/>
                <w:szCs w:val="22"/>
              </w:rPr>
              <w:t xml:space="preserve"> - 4 шт. Мультимедийный проектор </w:t>
            </w:r>
            <w:r w:rsidRPr="00CA225C">
              <w:rPr>
                <w:sz w:val="22"/>
                <w:szCs w:val="22"/>
                <w:lang w:val="en-US"/>
              </w:rPr>
              <w:t>Panasonic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PT</w:t>
            </w:r>
            <w:r w:rsidRPr="00CA225C">
              <w:rPr>
                <w:sz w:val="22"/>
                <w:szCs w:val="22"/>
              </w:rPr>
              <w:t>-</w:t>
            </w:r>
            <w:r w:rsidRPr="00CA225C">
              <w:rPr>
                <w:sz w:val="22"/>
                <w:szCs w:val="22"/>
                <w:lang w:val="en-US"/>
              </w:rPr>
              <w:t>VX</w:t>
            </w:r>
            <w:r w:rsidRPr="00CA225C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CA225C">
              <w:rPr>
                <w:sz w:val="22"/>
                <w:szCs w:val="22"/>
                <w:lang w:val="en-US"/>
              </w:rPr>
              <w:t>Apart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Concept</w:t>
            </w:r>
            <w:r w:rsidRPr="00CA225C">
              <w:rPr>
                <w:sz w:val="22"/>
                <w:szCs w:val="22"/>
              </w:rPr>
              <w:t xml:space="preserve">+ микрофон </w:t>
            </w:r>
            <w:r w:rsidRPr="00CA225C">
              <w:rPr>
                <w:sz w:val="22"/>
                <w:szCs w:val="22"/>
                <w:lang w:val="en-US"/>
              </w:rPr>
              <w:t>BEHRINGER</w:t>
            </w:r>
            <w:r w:rsidRPr="00CA225C">
              <w:rPr>
                <w:sz w:val="22"/>
                <w:szCs w:val="22"/>
              </w:rPr>
              <w:t xml:space="preserve">) - 1 шт., Акустическая система </w:t>
            </w:r>
            <w:r w:rsidRPr="00CA225C">
              <w:rPr>
                <w:sz w:val="22"/>
                <w:szCs w:val="22"/>
                <w:lang w:val="en-US"/>
              </w:rPr>
              <w:t>Hi</w:t>
            </w:r>
            <w:r w:rsidRPr="00CA225C">
              <w:rPr>
                <w:sz w:val="22"/>
                <w:szCs w:val="22"/>
              </w:rPr>
              <w:t>-</w:t>
            </w:r>
            <w:r w:rsidRPr="00CA225C">
              <w:rPr>
                <w:sz w:val="22"/>
                <w:szCs w:val="22"/>
                <w:lang w:val="en-US"/>
              </w:rPr>
              <w:t>Fi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PRO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MASK</w:t>
            </w:r>
            <w:r w:rsidRPr="00CA225C">
              <w:rPr>
                <w:sz w:val="22"/>
                <w:szCs w:val="22"/>
              </w:rPr>
              <w:t>6</w:t>
            </w:r>
            <w:r w:rsidRPr="00CA225C">
              <w:rPr>
                <w:sz w:val="22"/>
                <w:szCs w:val="22"/>
                <w:lang w:val="en-US"/>
              </w:rPr>
              <w:t>T</w:t>
            </w:r>
            <w:r w:rsidRPr="00CA225C">
              <w:rPr>
                <w:sz w:val="22"/>
                <w:szCs w:val="22"/>
              </w:rPr>
              <w:t>-</w:t>
            </w:r>
            <w:r w:rsidRPr="00CA225C">
              <w:rPr>
                <w:sz w:val="22"/>
                <w:szCs w:val="22"/>
                <w:lang w:val="en-US"/>
              </w:rPr>
              <w:t>W</w:t>
            </w:r>
            <w:r w:rsidRPr="00CA225C">
              <w:rPr>
                <w:sz w:val="22"/>
                <w:szCs w:val="22"/>
              </w:rPr>
              <w:t xml:space="preserve"> - 2 шт., Экран </w:t>
            </w:r>
            <w:r w:rsidRPr="00CA225C">
              <w:rPr>
                <w:sz w:val="22"/>
                <w:szCs w:val="22"/>
                <w:lang w:val="en-US"/>
              </w:rPr>
              <w:t>Compact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Electrol</w:t>
            </w:r>
            <w:r w:rsidRPr="00CA225C">
              <w:rPr>
                <w:sz w:val="22"/>
                <w:szCs w:val="22"/>
              </w:rPr>
              <w:t xml:space="preserve"> : размер экрана 153</w:t>
            </w:r>
            <w:r w:rsidRPr="00CA225C">
              <w:rPr>
                <w:sz w:val="22"/>
                <w:szCs w:val="22"/>
                <w:lang w:val="en-US"/>
              </w:rPr>
              <w:t>x</w:t>
            </w:r>
            <w:r w:rsidRPr="00CA225C">
              <w:rPr>
                <w:sz w:val="22"/>
                <w:szCs w:val="22"/>
              </w:rPr>
              <w:t xml:space="preserve">200 </w:t>
            </w:r>
            <w:r w:rsidRPr="00CA225C">
              <w:rPr>
                <w:sz w:val="22"/>
                <w:szCs w:val="22"/>
                <w:lang w:val="en-US"/>
              </w:rPr>
              <w:t>c</w:t>
            </w:r>
            <w:r w:rsidRPr="00CA225C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A22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225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A225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A225C" w14:paraId="2E504B2F" w14:textId="77777777" w:rsidTr="008416EB">
        <w:tc>
          <w:tcPr>
            <w:tcW w:w="7797" w:type="dxa"/>
            <w:shd w:val="clear" w:color="auto" w:fill="auto"/>
          </w:tcPr>
          <w:p w14:paraId="392D79B7" w14:textId="77777777" w:rsidR="002C735C" w:rsidRPr="00CA22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225C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CA225C">
              <w:rPr>
                <w:sz w:val="22"/>
                <w:szCs w:val="22"/>
                <w:lang w:val="en-US"/>
              </w:rPr>
              <w:t>Jedia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TA</w:t>
            </w:r>
            <w:r w:rsidRPr="00CA225C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CA225C">
              <w:rPr>
                <w:sz w:val="22"/>
                <w:szCs w:val="22"/>
                <w:lang w:val="en-US"/>
              </w:rPr>
              <w:t>ACER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Aspire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Z</w:t>
            </w:r>
            <w:r w:rsidRPr="00CA225C">
              <w:rPr>
                <w:sz w:val="22"/>
                <w:szCs w:val="22"/>
              </w:rPr>
              <w:t xml:space="preserve">1811 - 1 шт., Акустическая система </w:t>
            </w:r>
            <w:r w:rsidRPr="00CA225C">
              <w:rPr>
                <w:sz w:val="22"/>
                <w:szCs w:val="22"/>
                <w:lang w:val="en-US"/>
              </w:rPr>
              <w:t>JBL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CONTROL</w:t>
            </w:r>
            <w:r w:rsidRPr="00CA225C">
              <w:rPr>
                <w:sz w:val="22"/>
                <w:szCs w:val="22"/>
              </w:rPr>
              <w:t xml:space="preserve"> 25 </w:t>
            </w:r>
            <w:r w:rsidRPr="00CA225C">
              <w:rPr>
                <w:sz w:val="22"/>
                <w:szCs w:val="22"/>
                <w:lang w:val="en-US"/>
              </w:rPr>
              <w:t>WH</w:t>
            </w:r>
            <w:r w:rsidRPr="00CA225C">
              <w:rPr>
                <w:sz w:val="22"/>
                <w:szCs w:val="22"/>
              </w:rPr>
              <w:t xml:space="preserve"> - 2 шт., Мультимедиа проектор </w:t>
            </w:r>
            <w:r w:rsidRPr="00CA225C">
              <w:rPr>
                <w:sz w:val="22"/>
                <w:szCs w:val="22"/>
                <w:lang w:val="en-US"/>
              </w:rPr>
              <w:t>NEC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V</w:t>
            </w:r>
            <w:r w:rsidRPr="00CA225C">
              <w:rPr>
                <w:sz w:val="22"/>
                <w:szCs w:val="22"/>
              </w:rPr>
              <w:t>300</w:t>
            </w:r>
            <w:r w:rsidRPr="00CA225C">
              <w:rPr>
                <w:sz w:val="22"/>
                <w:szCs w:val="22"/>
                <w:lang w:val="en-US"/>
              </w:rPr>
              <w:t>W</w:t>
            </w:r>
            <w:r w:rsidRPr="00CA225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A3285D" w14:textId="77777777" w:rsidR="002C735C" w:rsidRPr="00CA22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225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A225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A225C" w14:paraId="28C0E24A" w14:textId="77777777" w:rsidTr="008416EB">
        <w:tc>
          <w:tcPr>
            <w:tcW w:w="7797" w:type="dxa"/>
            <w:shd w:val="clear" w:color="auto" w:fill="auto"/>
          </w:tcPr>
          <w:p w14:paraId="596103EB" w14:textId="77777777" w:rsidR="002C735C" w:rsidRPr="00CA22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225C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CA225C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CA225C">
              <w:rPr>
                <w:sz w:val="22"/>
                <w:szCs w:val="22"/>
                <w:lang w:val="en-US"/>
              </w:rPr>
              <w:t>Acer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Aspire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Z</w:t>
            </w:r>
            <w:r w:rsidRPr="00CA225C">
              <w:rPr>
                <w:sz w:val="22"/>
                <w:szCs w:val="22"/>
              </w:rPr>
              <w:t xml:space="preserve">1811 </w:t>
            </w:r>
            <w:r w:rsidRPr="00CA225C">
              <w:rPr>
                <w:sz w:val="22"/>
                <w:szCs w:val="22"/>
                <w:lang w:val="en-US"/>
              </w:rPr>
              <w:t>Intel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Core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i</w:t>
            </w:r>
            <w:r w:rsidRPr="00CA225C">
              <w:rPr>
                <w:sz w:val="22"/>
                <w:szCs w:val="22"/>
              </w:rPr>
              <w:t>5-2400</w:t>
            </w:r>
            <w:r w:rsidRPr="00CA225C">
              <w:rPr>
                <w:sz w:val="22"/>
                <w:szCs w:val="22"/>
                <w:lang w:val="en-US"/>
              </w:rPr>
              <w:t>S</w:t>
            </w:r>
            <w:r w:rsidRPr="00CA225C">
              <w:rPr>
                <w:sz w:val="22"/>
                <w:szCs w:val="22"/>
              </w:rPr>
              <w:t>@2.50</w:t>
            </w:r>
            <w:r w:rsidRPr="00CA225C">
              <w:rPr>
                <w:sz w:val="22"/>
                <w:szCs w:val="22"/>
                <w:lang w:val="en-US"/>
              </w:rPr>
              <w:t>GHz</w:t>
            </w:r>
            <w:r w:rsidRPr="00CA225C">
              <w:rPr>
                <w:sz w:val="22"/>
                <w:szCs w:val="22"/>
              </w:rPr>
              <w:t>/4</w:t>
            </w:r>
            <w:r w:rsidRPr="00CA225C">
              <w:rPr>
                <w:sz w:val="22"/>
                <w:szCs w:val="22"/>
                <w:lang w:val="en-US"/>
              </w:rPr>
              <w:t>Gb</w:t>
            </w:r>
            <w:r w:rsidRPr="00CA225C">
              <w:rPr>
                <w:sz w:val="22"/>
                <w:szCs w:val="22"/>
              </w:rPr>
              <w:t>/1</w:t>
            </w:r>
            <w:r w:rsidRPr="00CA225C">
              <w:rPr>
                <w:sz w:val="22"/>
                <w:szCs w:val="22"/>
                <w:lang w:val="en-US"/>
              </w:rPr>
              <w:t>Tb</w:t>
            </w:r>
            <w:r w:rsidRPr="00CA225C">
              <w:rPr>
                <w:sz w:val="22"/>
                <w:szCs w:val="22"/>
              </w:rPr>
              <w:t xml:space="preserve"> - 1 шт., Мультимедийный проектор </w:t>
            </w:r>
            <w:r w:rsidRPr="00CA225C">
              <w:rPr>
                <w:sz w:val="22"/>
                <w:szCs w:val="22"/>
                <w:lang w:val="en-US"/>
              </w:rPr>
              <w:t>NEC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ME</w:t>
            </w:r>
            <w:r w:rsidRPr="00CA225C">
              <w:rPr>
                <w:sz w:val="22"/>
                <w:szCs w:val="22"/>
              </w:rPr>
              <w:t>401</w:t>
            </w:r>
            <w:r w:rsidRPr="00CA225C">
              <w:rPr>
                <w:sz w:val="22"/>
                <w:szCs w:val="22"/>
                <w:lang w:val="en-US"/>
              </w:rPr>
              <w:t>X</w:t>
            </w:r>
            <w:r w:rsidRPr="00CA225C">
              <w:rPr>
                <w:sz w:val="22"/>
                <w:szCs w:val="22"/>
              </w:rPr>
              <w:t xml:space="preserve"> - 1 шт., Экран с электроприводом </w:t>
            </w:r>
            <w:r w:rsidRPr="00CA225C">
              <w:rPr>
                <w:sz w:val="22"/>
                <w:szCs w:val="22"/>
                <w:lang w:val="en-US"/>
              </w:rPr>
              <w:t>Draper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Baronet</w:t>
            </w:r>
            <w:r w:rsidRPr="00CA225C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CA225C">
              <w:rPr>
                <w:sz w:val="22"/>
                <w:szCs w:val="22"/>
                <w:lang w:val="en-US"/>
              </w:rPr>
              <w:t>JPA</w:t>
            </w:r>
            <w:r w:rsidRPr="00CA225C">
              <w:rPr>
                <w:sz w:val="22"/>
                <w:szCs w:val="22"/>
              </w:rPr>
              <w:t>-1240</w:t>
            </w:r>
            <w:r w:rsidRPr="00CA225C">
              <w:rPr>
                <w:sz w:val="22"/>
                <w:szCs w:val="22"/>
                <w:lang w:val="en-US"/>
              </w:rPr>
              <w:t>A</w:t>
            </w:r>
            <w:r w:rsidRPr="00CA225C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CA225C">
              <w:rPr>
                <w:sz w:val="22"/>
                <w:szCs w:val="22"/>
                <w:lang w:val="en-US"/>
              </w:rPr>
              <w:t>JBL</w:t>
            </w:r>
            <w:r w:rsidRPr="00CA225C">
              <w:rPr>
                <w:sz w:val="22"/>
                <w:szCs w:val="22"/>
              </w:rPr>
              <w:t xml:space="preserve"> </w:t>
            </w:r>
            <w:r w:rsidRPr="00CA225C">
              <w:rPr>
                <w:sz w:val="22"/>
                <w:szCs w:val="22"/>
                <w:lang w:val="en-US"/>
              </w:rPr>
              <w:t>CONTROL</w:t>
            </w:r>
            <w:r w:rsidRPr="00CA225C">
              <w:rPr>
                <w:sz w:val="22"/>
                <w:szCs w:val="22"/>
              </w:rPr>
              <w:t xml:space="preserve"> 25 </w:t>
            </w:r>
            <w:r w:rsidRPr="00CA225C">
              <w:rPr>
                <w:sz w:val="22"/>
                <w:szCs w:val="22"/>
                <w:lang w:val="en-US"/>
              </w:rPr>
              <w:t>WH</w:t>
            </w:r>
            <w:r w:rsidRPr="00CA225C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E030E6" w14:textId="77777777" w:rsidR="002C735C" w:rsidRPr="00CA22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225C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CA225C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CA225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788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788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78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788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рисков как наука и учебная дисциплина. Современные подходы к классификации рисков.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FB1475E" w14:textId="77777777" w:rsidTr="00F00293">
        <w:tc>
          <w:tcPr>
            <w:tcW w:w="562" w:type="dxa"/>
          </w:tcPr>
          <w:p w14:paraId="0AB5F8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2144BEC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Место и роль рисков в предпринимательской деятельности.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E157D06" w14:textId="77777777" w:rsidTr="00F00293">
        <w:tc>
          <w:tcPr>
            <w:tcW w:w="562" w:type="dxa"/>
          </w:tcPr>
          <w:p w14:paraId="2F0BC8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19AD2D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Экономические, правовые и финансовые аспекты предпринимательских рисков.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EF5DB76" w14:textId="77777777" w:rsidTr="00F00293">
        <w:tc>
          <w:tcPr>
            <w:tcW w:w="562" w:type="dxa"/>
          </w:tcPr>
          <w:p w14:paraId="796A3B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B831627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Риск как вероятность неблагоприятного исхода предпринимательской деятельности.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3503B02" w14:textId="77777777" w:rsidTr="00F00293">
        <w:tc>
          <w:tcPr>
            <w:tcW w:w="562" w:type="dxa"/>
          </w:tcPr>
          <w:p w14:paraId="68F143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AB600FA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 xml:space="preserve">Оценка степени предпринимательского риска в условиях неопределенности.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3E7634E" w14:textId="77777777" w:rsidTr="00F00293">
        <w:tc>
          <w:tcPr>
            <w:tcW w:w="562" w:type="dxa"/>
          </w:tcPr>
          <w:p w14:paraId="37F47A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90A1C2B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Предпринимательские риски и экономическая свобода предпринимательства.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6187A5C" w14:textId="77777777" w:rsidTr="00F00293">
        <w:tc>
          <w:tcPr>
            <w:tcW w:w="562" w:type="dxa"/>
          </w:tcPr>
          <w:p w14:paraId="6ED97E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8D031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A225C">
              <w:rPr>
                <w:sz w:val="23"/>
                <w:szCs w:val="23"/>
              </w:rPr>
              <w:t xml:space="preserve">Области риска в предпринимательской деятельности. Возникновение рисков при постановке миссии и целей фирмы. </w:t>
            </w:r>
            <w:r>
              <w:rPr>
                <w:sz w:val="23"/>
                <w:szCs w:val="23"/>
                <w:lang w:val="en-US"/>
              </w:rPr>
              <w:t>Риски развития. </w:t>
            </w:r>
          </w:p>
        </w:tc>
      </w:tr>
      <w:tr w:rsidR="009E6058" w14:paraId="31FDA939" w14:textId="77777777" w:rsidTr="00F00293">
        <w:tc>
          <w:tcPr>
            <w:tcW w:w="562" w:type="dxa"/>
          </w:tcPr>
          <w:p w14:paraId="041B01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B1FE76B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Виды банкротства: фиктивное, преднамеренное, реальное, техническое.</w:t>
            </w:r>
          </w:p>
        </w:tc>
      </w:tr>
      <w:tr w:rsidR="009E6058" w14:paraId="67ADDD8E" w14:textId="77777777" w:rsidTr="00F00293">
        <w:tc>
          <w:tcPr>
            <w:tcW w:w="562" w:type="dxa"/>
          </w:tcPr>
          <w:p w14:paraId="6B51AF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7D0FE05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Причины банкротства: субъективные; объективные; внешние; внутренние.</w:t>
            </w:r>
          </w:p>
        </w:tc>
      </w:tr>
      <w:tr w:rsidR="009E6058" w14:paraId="0E6D1435" w14:textId="77777777" w:rsidTr="00F00293">
        <w:tc>
          <w:tcPr>
            <w:tcW w:w="562" w:type="dxa"/>
          </w:tcPr>
          <w:p w14:paraId="141985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21C9A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факторы банкротства. </w:t>
            </w:r>
          </w:p>
        </w:tc>
      </w:tr>
      <w:tr w:rsidR="009E6058" w14:paraId="2D895B54" w14:textId="77777777" w:rsidTr="00F00293">
        <w:tc>
          <w:tcPr>
            <w:tcW w:w="562" w:type="dxa"/>
          </w:tcPr>
          <w:p w14:paraId="09ACF0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A941228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Основные подходы к предсказанию банкротства: количественный, качественный, метод интегральной бальной оценки достоинства и недостатки каждого из них.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0FDEC65" w14:textId="77777777" w:rsidTr="00F00293">
        <w:tc>
          <w:tcPr>
            <w:tcW w:w="562" w:type="dxa"/>
          </w:tcPr>
          <w:p w14:paraId="098174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6590ABE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диагностики вероятности банкротства Э.Альтмана: содержание, достоинства и недостатки.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BE74501" w14:textId="77777777" w:rsidTr="00F00293">
        <w:tc>
          <w:tcPr>
            <w:tcW w:w="562" w:type="dxa"/>
          </w:tcPr>
          <w:p w14:paraId="0862C2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CF39BF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диагностики вероятности банкротства У.Бивера: содержание, достоинства и недостатки.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7A3BB05F" w14:textId="77777777" w:rsidTr="00F00293">
        <w:tc>
          <w:tcPr>
            <w:tcW w:w="562" w:type="dxa"/>
          </w:tcPr>
          <w:p w14:paraId="524F11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5C692D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оценки вероятности банкротства организации по Р.Лису: содержание, достоинства и недостатки.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FBEBABC" w14:textId="77777777" w:rsidTr="00F00293">
        <w:tc>
          <w:tcPr>
            <w:tcW w:w="562" w:type="dxa"/>
          </w:tcPr>
          <w:p w14:paraId="5EEA22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72FCC55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диагностики вероятности банкротства Р.Таффлера: содержание, достоинства и недостатки.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7F13FEE3" w14:textId="77777777" w:rsidTr="00F00293">
        <w:tc>
          <w:tcPr>
            <w:tcW w:w="562" w:type="dxa"/>
          </w:tcPr>
          <w:p w14:paraId="330EA0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6F9A5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диагностики вероятности банкротства Г.Спрингейта: содержание, достоинства и недостатки.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1F20C7B" w14:textId="77777777" w:rsidTr="00F00293">
        <w:tc>
          <w:tcPr>
            <w:tcW w:w="562" w:type="dxa"/>
          </w:tcPr>
          <w:p w14:paraId="3D2643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FF4807C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оценки платежеспособности Ж.Конана и М.Голдера: содержание, достоинства и недостатки.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EEDD1E8" w14:textId="77777777" w:rsidTr="00F00293">
        <w:tc>
          <w:tcPr>
            <w:tcW w:w="562" w:type="dxa"/>
          </w:tcPr>
          <w:p w14:paraId="1DD5B9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B2ED6A9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оценки вероятности банкротства организации по Дж.Фулмеру: содержание, достоинства и недостатки.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84BCF3D" w14:textId="77777777" w:rsidTr="00F00293">
        <w:tc>
          <w:tcPr>
            <w:tcW w:w="562" w:type="dxa"/>
          </w:tcPr>
          <w:p w14:paraId="449A9A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A19BBF0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прогнозирования банкротства предприятия Р.С.Сайфуллина и Г.Г. Кадыкова: содержание, достоинства и недостатки.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182E0AF" w14:textId="77777777" w:rsidTr="00F00293">
        <w:tc>
          <w:tcPr>
            <w:tcW w:w="562" w:type="dxa"/>
          </w:tcPr>
          <w:p w14:paraId="1F5A24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2834EA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прогнозирования банкротства предприятия А.Б.Перфильева.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9226999" w14:textId="77777777" w:rsidTr="00F00293">
        <w:tc>
          <w:tcPr>
            <w:tcW w:w="562" w:type="dxa"/>
          </w:tcPr>
          <w:p w14:paraId="14F24D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9C9C3C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прогнозирования банкротства предприятия Г.В.Савицкой.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23F4B743" w14:textId="77777777" w:rsidTr="00F00293">
        <w:tc>
          <w:tcPr>
            <w:tcW w:w="562" w:type="dxa"/>
          </w:tcPr>
          <w:p w14:paraId="4839F2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22581E2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оценки вероятности банкротства организации по Г.В.Давыдовой и А.Д.Беликову: содержание, достоинства и недостатки.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1C15312" w14:textId="77777777" w:rsidTr="00F00293">
        <w:tc>
          <w:tcPr>
            <w:tcW w:w="562" w:type="dxa"/>
          </w:tcPr>
          <w:p w14:paraId="7E2738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19EBCE4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оценки вероятности банкротства организации по А.С.Кучеренко: содержание, достоинства и недостатки.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074846E" w14:textId="77777777" w:rsidTr="00F00293">
        <w:tc>
          <w:tcPr>
            <w:tcW w:w="562" w:type="dxa"/>
          </w:tcPr>
          <w:p w14:paraId="709C7D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E8D5EA4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Методика оценки вероятности банкротства организации по Л.В.Донцовой и Н.А.Никифоровой: содержание, достоинства и недостатки.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D320C22" w14:textId="77777777" w:rsidTr="00F00293">
        <w:tc>
          <w:tcPr>
            <w:tcW w:w="562" w:type="dxa"/>
          </w:tcPr>
          <w:p w14:paraId="21095B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F0490C0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оценки вероятности банкротства организации по В.В.Ковалеву: содержание, достоинства и недостатки.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71601EAC" w14:textId="77777777" w:rsidTr="00F00293">
        <w:tc>
          <w:tcPr>
            <w:tcW w:w="562" w:type="dxa"/>
          </w:tcPr>
          <w:p w14:paraId="340874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360BDDA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Модель оценки вероятности банкротства организации по А.Н.Жилкиной: содержание, достоинства и недостатки.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A56D014" w14:textId="77777777" w:rsidTr="00F00293">
        <w:tc>
          <w:tcPr>
            <w:tcW w:w="562" w:type="dxa"/>
          </w:tcPr>
          <w:p w14:paraId="0F859B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3A98B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финансовой устойчивости. </w:t>
            </w:r>
          </w:p>
        </w:tc>
      </w:tr>
      <w:tr w:rsidR="009E6058" w14:paraId="714ECED4" w14:textId="77777777" w:rsidTr="00F00293">
        <w:tc>
          <w:tcPr>
            <w:tcW w:w="562" w:type="dxa"/>
          </w:tcPr>
          <w:p w14:paraId="1F7976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1BBEBB9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Факторы, оказывающие влияние на деловую активность организации: мезоуровень; микроуровень.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B9A169C" w14:textId="77777777" w:rsidTr="00F00293">
        <w:tc>
          <w:tcPr>
            <w:tcW w:w="562" w:type="dxa"/>
          </w:tcPr>
          <w:p w14:paraId="776184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29</w:t>
            </w:r>
          </w:p>
        </w:tc>
        <w:tc>
          <w:tcPr>
            <w:tcW w:w="8783" w:type="dxa"/>
          </w:tcPr>
          <w:p w14:paraId="73310BAE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Влияние изменений в среде поставщиков на финансовую деятельность предприятий.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2AE85CEB" w14:textId="77777777" w:rsidTr="00F00293">
        <w:tc>
          <w:tcPr>
            <w:tcW w:w="562" w:type="dxa"/>
          </w:tcPr>
          <w:p w14:paraId="216237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FE54DD9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Макросреда предпринимательства и факторы на нею влияющие.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AD74027" w14:textId="77777777" w:rsidTr="00F00293">
        <w:tc>
          <w:tcPr>
            <w:tcW w:w="562" w:type="dxa"/>
          </w:tcPr>
          <w:p w14:paraId="2F416A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B905344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Структура оценки деловой активности: качественные и количественные критерии.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4579682" w14:textId="77777777" w:rsidTr="00F00293">
        <w:tc>
          <w:tcPr>
            <w:tcW w:w="562" w:type="dxa"/>
          </w:tcPr>
          <w:p w14:paraId="5EC4FA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5BB7A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деловой активности. </w:t>
            </w:r>
          </w:p>
        </w:tc>
      </w:tr>
      <w:tr w:rsidR="009E6058" w14:paraId="4C8A8A1F" w14:textId="77777777" w:rsidTr="00F00293">
        <w:tc>
          <w:tcPr>
            <w:tcW w:w="562" w:type="dxa"/>
          </w:tcPr>
          <w:p w14:paraId="6F35C5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CE3DC62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технического риска на предприятии.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551B0D0" w14:textId="77777777" w:rsidTr="00F00293">
        <w:tc>
          <w:tcPr>
            <w:tcW w:w="562" w:type="dxa"/>
          </w:tcPr>
          <w:p w14:paraId="79E19E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F7B394A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транспортного риска на предприятии.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5D75E4C" w14:textId="77777777" w:rsidTr="00F00293">
        <w:tc>
          <w:tcPr>
            <w:tcW w:w="562" w:type="dxa"/>
          </w:tcPr>
          <w:p w14:paraId="79F8E8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D0577F2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 xml:space="preserve">Оценка риска снижения эффективности хранения готовой продукции.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7DAEE60" w14:textId="77777777" w:rsidTr="00F00293">
        <w:tc>
          <w:tcPr>
            <w:tcW w:w="562" w:type="dxa"/>
          </w:tcPr>
          <w:p w14:paraId="22496C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5C955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риска снабжения предприятия. </w:t>
            </w:r>
          </w:p>
        </w:tc>
      </w:tr>
      <w:tr w:rsidR="009E6058" w14:paraId="3EC8E24E" w14:textId="77777777" w:rsidTr="00F00293">
        <w:tc>
          <w:tcPr>
            <w:tcW w:w="562" w:type="dxa"/>
          </w:tcPr>
          <w:p w14:paraId="34F7AC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CA9F280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риска снижения эффективности управленческой деятельности предприятия.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D57E3E9" w14:textId="77777777" w:rsidTr="00F00293">
        <w:tc>
          <w:tcPr>
            <w:tcW w:w="562" w:type="dxa"/>
          </w:tcPr>
          <w:p w14:paraId="3B9EA0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F918994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риска снижения эффективности сбытовой деятельности предприятия.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A33C1B0" w14:textId="77777777" w:rsidTr="00F00293">
        <w:tc>
          <w:tcPr>
            <w:tcW w:w="562" w:type="dxa"/>
          </w:tcPr>
          <w:p w14:paraId="4FCF1F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8024591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риска снижения эффективности структуры управления организации.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660636B" w14:textId="77777777" w:rsidTr="00F00293">
        <w:tc>
          <w:tcPr>
            <w:tcW w:w="562" w:type="dxa"/>
          </w:tcPr>
          <w:p w14:paraId="5E9A59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27B7C67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риска снижения эффективности системы мотивации персонала организации.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7567AC36" w14:textId="77777777" w:rsidTr="00F00293">
        <w:tc>
          <w:tcPr>
            <w:tcW w:w="562" w:type="dxa"/>
          </w:tcPr>
          <w:p w14:paraId="2AD2DE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6A36507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риска снижения эффективности системы трудовой адаптации сотрудников организации.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706622A4" w14:textId="77777777" w:rsidTr="00F00293">
        <w:tc>
          <w:tcPr>
            <w:tcW w:w="562" w:type="dxa"/>
          </w:tcPr>
          <w:p w14:paraId="254678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B85A05F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риска снижения эффективности маркетинга персонала организации.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36D15E8" w14:textId="77777777" w:rsidTr="00F00293">
        <w:tc>
          <w:tcPr>
            <w:tcW w:w="562" w:type="dxa"/>
          </w:tcPr>
          <w:p w14:paraId="194BEE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104E25F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 xml:space="preserve">Оценка риска снижения производительности труда персонала организации.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B08E5C8" w14:textId="77777777" w:rsidTr="00F00293">
        <w:tc>
          <w:tcPr>
            <w:tcW w:w="562" w:type="dxa"/>
          </w:tcPr>
          <w:p w14:paraId="0AEE0C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94FF222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риска снижения эффективности системы повышения квалификации персонала организации.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7EAEA83" w14:textId="77777777" w:rsidTr="00F00293">
        <w:tc>
          <w:tcPr>
            <w:tcW w:w="562" w:type="dxa"/>
          </w:tcPr>
          <w:p w14:paraId="5F6404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B1D8E5B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риска снижения эффективности структуры управления маркетинговой деятельности предприятия.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E6D6CCE" w14:textId="77777777" w:rsidTr="00F00293">
        <w:tc>
          <w:tcPr>
            <w:tcW w:w="562" w:type="dxa"/>
          </w:tcPr>
          <w:p w14:paraId="6A3378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3B33E64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риска снижения эффективности структуры управления ассортиментом.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5F02D74" w14:textId="77777777" w:rsidTr="00F00293">
        <w:tc>
          <w:tcPr>
            <w:tcW w:w="562" w:type="dxa"/>
          </w:tcPr>
          <w:p w14:paraId="66F3D2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2E27D5D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риска снижения эффективности ценовой политики организации.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1B99ABC" w14:textId="77777777" w:rsidTr="00F00293">
        <w:tc>
          <w:tcPr>
            <w:tcW w:w="562" w:type="dxa"/>
          </w:tcPr>
          <w:p w14:paraId="5A0C9E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131E20B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риска снижения эффективности коммуникационной политики организации.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9F22F37" w14:textId="77777777" w:rsidTr="00F00293">
        <w:tc>
          <w:tcPr>
            <w:tcW w:w="562" w:type="dxa"/>
          </w:tcPr>
          <w:p w14:paraId="2871F6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7184A96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Оценка риска снижения эффективности рекламной деятельности.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D17EFFF" w14:textId="77777777" w:rsidTr="00F00293">
        <w:tc>
          <w:tcPr>
            <w:tcW w:w="562" w:type="dxa"/>
          </w:tcPr>
          <w:p w14:paraId="1B0A18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D67AAFF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Риск как неизбежный фактор предпринимательской деятельности</w:t>
            </w:r>
          </w:p>
        </w:tc>
      </w:tr>
      <w:tr w:rsidR="009E6058" w14:paraId="585B81C3" w14:textId="77777777" w:rsidTr="00F00293">
        <w:tc>
          <w:tcPr>
            <w:tcW w:w="562" w:type="dxa"/>
          </w:tcPr>
          <w:p w14:paraId="5A5EF1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754B9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 как вероятностная категория</w:t>
            </w:r>
          </w:p>
        </w:tc>
      </w:tr>
      <w:tr w:rsidR="009E6058" w14:paraId="45E1B5EC" w14:textId="77777777" w:rsidTr="00F00293">
        <w:tc>
          <w:tcPr>
            <w:tcW w:w="562" w:type="dxa"/>
          </w:tcPr>
          <w:p w14:paraId="498E01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7EB3874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Сущность риска и его основные черты</w:t>
            </w:r>
          </w:p>
        </w:tc>
      </w:tr>
      <w:tr w:rsidR="009E6058" w14:paraId="011C2382" w14:textId="77777777" w:rsidTr="00F00293">
        <w:tc>
          <w:tcPr>
            <w:tcW w:w="562" w:type="dxa"/>
          </w:tcPr>
          <w:p w14:paraId="7F0CFB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0106C6B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Противоречивость риска и ее проявление</w:t>
            </w:r>
          </w:p>
        </w:tc>
      </w:tr>
      <w:tr w:rsidR="009E6058" w14:paraId="7ECE1DA1" w14:textId="77777777" w:rsidTr="00F00293">
        <w:tc>
          <w:tcPr>
            <w:tcW w:w="562" w:type="dxa"/>
          </w:tcPr>
          <w:p w14:paraId="2F8AF5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0F980C8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Альтернативность риска и ее сущность</w:t>
            </w:r>
          </w:p>
        </w:tc>
      </w:tr>
      <w:tr w:rsidR="009E6058" w14:paraId="1E3F452E" w14:textId="77777777" w:rsidTr="00F00293">
        <w:tc>
          <w:tcPr>
            <w:tcW w:w="562" w:type="dxa"/>
          </w:tcPr>
          <w:p w14:paraId="4453AF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96F4F3A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Неопределенность как специфическая черта риска</w:t>
            </w:r>
          </w:p>
        </w:tc>
      </w:tr>
      <w:tr w:rsidR="009E6058" w14:paraId="08BCDCF9" w14:textId="77777777" w:rsidTr="00F00293">
        <w:tc>
          <w:tcPr>
            <w:tcW w:w="562" w:type="dxa"/>
          </w:tcPr>
          <w:p w14:paraId="7C4DB8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CB64D36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Основные источники угроз и их классификация</w:t>
            </w:r>
          </w:p>
        </w:tc>
      </w:tr>
      <w:tr w:rsidR="009E6058" w14:paraId="01CFD364" w14:textId="77777777" w:rsidTr="00F00293">
        <w:tc>
          <w:tcPr>
            <w:tcW w:w="562" w:type="dxa"/>
          </w:tcPr>
          <w:p w14:paraId="5075F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8098F6B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Объективные факторы риск а и их классификация</w:t>
            </w:r>
          </w:p>
        </w:tc>
      </w:tr>
      <w:tr w:rsidR="009E6058" w14:paraId="04F6F8E0" w14:textId="77777777" w:rsidTr="00F00293">
        <w:tc>
          <w:tcPr>
            <w:tcW w:w="562" w:type="dxa"/>
          </w:tcPr>
          <w:p w14:paraId="1CED5C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90DE42A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Субъективные факторы риска и их классификация</w:t>
            </w:r>
          </w:p>
        </w:tc>
      </w:tr>
      <w:tr w:rsidR="009E6058" w14:paraId="5351B07B" w14:textId="77777777" w:rsidTr="00F00293">
        <w:tc>
          <w:tcPr>
            <w:tcW w:w="562" w:type="dxa"/>
          </w:tcPr>
          <w:p w14:paraId="11B666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D7958D5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Риск и доходность: сочетание и соотношение</w:t>
            </w:r>
          </w:p>
        </w:tc>
      </w:tr>
      <w:tr w:rsidR="009E6058" w14:paraId="37146B4D" w14:textId="77777777" w:rsidTr="00F00293">
        <w:tc>
          <w:tcPr>
            <w:tcW w:w="562" w:type="dxa"/>
          </w:tcPr>
          <w:p w14:paraId="7FEC34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3BA246F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Микросреда бизнеса как источник возникновения рисков</w:t>
            </w:r>
          </w:p>
        </w:tc>
      </w:tr>
      <w:tr w:rsidR="009E6058" w14:paraId="6E28B8A8" w14:textId="77777777" w:rsidTr="00F00293">
        <w:tc>
          <w:tcPr>
            <w:tcW w:w="562" w:type="dxa"/>
          </w:tcPr>
          <w:p w14:paraId="25652C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56B3DA5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Макросреда бизнеса как источник возникновения рисков</w:t>
            </w:r>
          </w:p>
        </w:tc>
      </w:tr>
      <w:tr w:rsidR="009E6058" w14:paraId="13EAD03A" w14:textId="77777777" w:rsidTr="00F00293">
        <w:tc>
          <w:tcPr>
            <w:tcW w:w="562" w:type="dxa"/>
          </w:tcPr>
          <w:p w14:paraId="2B40FD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747AD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возникновения риска</w:t>
            </w:r>
          </w:p>
        </w:tc>
      </w:tr>
      <w:tr w:rsidR="009E6058" w14:paraId="6CD05A6E" w14:textId="77777777" w:rsidTr="00F00293">
        <w:tc>
          <w:tcPr>
            <w:tcW w:w="562" w:type="dxa"/>
          </w:tcPr>
          <w:p w14:paraId="32430A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0FF4A40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Экзогенные факторы риска и их характеристика</w:t>
            </w:r>
          </w:p>
        </w:tc>
      </w:tr>
      <w:tr w:rsidR="009E6058" w14:paraId="0A5486ED" w14:textId="77777777" w:rsidTr="00F00293">
        <w:tc>
          <w:tcPr>
            <w:tcW w:w="562" w:type="dxa"/>
          </w:tcPr>
          <w:p w14:paraId="102A1E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ADB4E38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Эндогенные факторы риска и их характеристика</w:t>
            </w:r>
          </w:p>
        </w:tc>
      </w:tr>
      <w:tr w:rsidR="009E6058" w14:paraId="2C9264A1" w14:textId="77777777" w:rsidTr="00F00293">
        <w:tc>
          <w:tcPr>
            <w:tcW w:w="562" w:type="dxa"/>
          </w:tcPr>
          <w:p w14:paraId="67C8D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F0562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Политические факторы риска</w:t>
            </w:r>
          </w:p>
        </w:tc>
      </w:tr>
      <w:tr w:rsidR="009E6058" w14:paraId="3D8DD57F" w14:textId="77777777" w:rsidTr="00F00293">
        <w:tc>
          <w:tcPr>
            <w:tcW w:w="562" w:type="dxa"/>
          </w:tcPr>
          <w:p w14:paraId="072B49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2B966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факторы риска</w:t>
            </w:r>
          </w:p>
        </w:tc>
      </w:tr>
      <w:tr w:rsidR="009E6058" w14:paraId="1EB3377B" w14:textId="77777777" w:rsidTr="00F00293">
        <w:tc>
          <w:tcPr>
            <w:tcW w:w="562" w:type="dxa"/>
          </w:tcPr>
          <w:p w14:paraId="054446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75FBB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факторы риска</w:t>
            </w:r>
          </w:p>
        </w:tc>
      </w:tr>
      <w:tr w:rsidR="009E6058" w14:paraId="136F2597" w14:textId="77777777" w:rsidTr="00F00293">
        <w:tc>
          <w:tcPr>
            <w:tcW w:w="562" w:type="dxa"/>
          </w:tcPr>
          <w:p w14:paraId="5C6425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8ED51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рисков</w:t>
            </w:r>
          </w:p>
        </w:tc>
      </w:tr>
      <w:tr w:rsidR="009E6058" w14:paraId="58448123" w14:textId="77777777" w:rsidTr="00F00293">
        <w:tc>
          <w:tcPr>
            <w:tcW w:w="562" w:type="dxa"/>
          </w:tcPr>
          <w:p w14:paraId="2A01BA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1F63F1EB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Чистые риски и их характеристика</w:t>
            </w:r>
          </w:p>
        </w:tc>
      </w:tr>
      <w:tr w:rsidR="009E6058" w14:paraId="19F6F3FC" w14:textId="77777777" w:rsidTr="00F00293">
        <w:tc>
          <w:tcPr>
            <w:tcW w:w="562" w:type="dxa"/>
          </w:tcPr>
          <w:p w14:paraId="571B01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421425B2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Спекулятивные риски и их характеристика</w:t>
            </w:r>
          </w:p>
        </w:tc>
      </w:tr>
      <w:tr w:rsidR="009E6058" w14:paraId="39AD1F97" w14:textId="77777777" w:rsidTr="00F00293">
        <w:tc>
          <w:tcPr>
            <w:tcW w:w="562" w:type="dxa"/>
          </w:tcPr>
          <w:p w14:paraId="31FAC7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CC8AD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методы оценки риска</w:t>
            </w:r>
          </w:p>
        </w:tc>
      </w:tr>
      <w:tr w:rsidR="009E6058" w14:paraId="1586267A" w14:textId="77777777" w:rsidTr="00F00293">
        <w:tc>
          <w:tcPr>
            <w:tcW w:w="562" w:type="dxa"/>
          </w:tcPr>
          <w:p w14:paraId="41A1BB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74AC6AB2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Риск-менеджмент и его основные принципы</w:t>
            </w:r>
          </w:p>
        </w:tc>
      </w:tr>
      <w:tr w:rsidR="009E6058" w14:paraId="1C46E91F" w14:textId="77777777" w:rsidTr="00F00293">
        <w:tc>
          <w:tcPr>
            <w:tcW w:w="562" w:type="dxa"/>
          </w:tcPr>
          <w:p w14:paraId="567EDA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5B9FCB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правила риск-менеджмента</w:t>
            </w:r>
          </w:p>
        </w:tc>
      </w:tr>
      <w:tr w:rsidR="009E6058" w14:paraId="7CAA2D87" w14:textId="77777777" w:rsidTr="00F00293">
        <w:tc>
          <w:tcPr>
            <w:tcW w:w="562" w:type="dxa"/>
          </w:tcPr>
          <w:p w14:paraId="6769F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7C7F2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Коммерческие риски их особенности</w:t>
            </w:r>
          </w:p>
        </w:tc>
      </w:tr>
      <w:tr w:rsidR="009E6058" w14:paraId="5CB7577F" w14:textId="77777777" w:rsidTr="00F00293">
        <w:tc>
          <w:tcPr>
            <w:tcW w:w="562" w:type="dxa"/>
          </w:tcPr>
          <w:p w14:paraId="27A1A0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7E92B1AE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Финансовые риски и их особенности</w:t>
            </w:r>
          </w:p>
        </w:tc>
      </w:tr>
      <w:tr w:rsidR="009E6058" w14:paraId="4FF9A58B" w14:textId="77777777" w:rsidTr="00F00293">
        <w:tc>
          <w:tcPr>
            <w:tcW w:w="562" w:type="dxa"/>
          </w:tcPr>
          <w:p w14:paraId="00A483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76</w:t>
            </w:r>
          </w:p>
        </w:tc>
        <w:tc>
          <w:tcPr>
            <w:tcW w:w="8783" w:type="dxa"/>
          </w:tcPr>
          <w:p w14:paraId="4258491D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Социально-политические риски и их особенности</w:t>
            </w:r>
          </w:p>
        </w:tc>
      </w:tr>
      <w:tr w:rsidR="009E6058" w14:paraId="7893897C" w14:textId="77777777" w:rsidTr="00F00293">
        <w:tc>
          <w:tcPr>
            <w:tcW w:w="562" w:type="dxa"/>
          </w:tcPr>
          <w:p w14:paraId="375099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2A28C17C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Основные пути снижения финансовых рисков</w:t>
            </w:r>
          </w:p>
        </w:tc>
      </w:tr>
      <w:tr w:rsidR="009E6058" w14:paraId="7CED0848" w14:textId="77777777" w:rsidTr="00F00293">
        <w:tc>
          <w:tcPr>
            <w:tcW w:w="562" w:type="dxa"/>
          </w:tcPr>
          <w:p w14:paraId="4F0E59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7483BCC0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Диверсификация как метод управления риском</w:t>
            </w:r>
          </w:p>
        </w:tc>
      </w:tr>
      <w:tr w:rsidR="009E6058" w14:paraId="6C0C7EDC" w14:textId="77777777" w:rsidTr="00F00293">
        <w:tc>
          <w:tcPr>
            <w:tcW w:w="562" w:type="dxa"/>
          </w:tcPr>
          <w:p w14:paraId="2C63C0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09CF2D60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Избежание и удержание риска как методы управления риском</w:t>
            </w:r>
          </w:p>
        </w:tc>
      </w:tr>
      <w:tr w:rsidR="009E6058" w14:paraId="534F7233" w14:textId="77777777" w:rsidTr="00F00293">
        <w:tc>
          <w:tcPr>
            <w:tcW w:w="562" w:type="dxa"/>
          </w:tcPr>
          <w:p w14:paraId="366BA6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5AE30BFB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Хеджирование как метод управления риском</w:t>
            </w:r>
          </w:p>
        </w:tc>
      </w:tr>
      <w:tr w:rsidR="009E6058" w14:paraId="71AD3F60" w14:textId="77777777" w:rsidTr="00F00293">
        <w:tc>
          <w:tcPr>
            <w:tcW w:w="562" w:type="dxa"/>
          </w:tcPr>
          <w:p w14:paraId="29DCFC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1DCD8D2A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Страхование и самострахование как методы управления риском</w:t>
            </w:r>
          </w:p>
        </w:tc>
      </w:tr>
      <w:tr w:rsidR="009E6058" w14:paraId="727626F4" w14:textId="77777777" w:rsidTr="00F00293">
        <w:tc>
          <w:tcPr>
            <w:tcW w:w="562" w:type="dxa"/>
          </w:tcPr>
          <w:p w14:paraId="1E652B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2A4D4C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Неформализованные методы минимизации рисков</w:t>
            </w:r>
          </w:p>
        </w:tc>
      </w:tr>
      <w:tr w:rsidR="009E6058" w14:paraId="51F9A93B" w14:textId="77777777" w:rsidTr="00F00293">
        <w:tc>
          <w:tcPr>
            <w:tcW w:w="562" w:type="dxa"/>
          </w:tcPr>
          <w:p w14:paraId="39C142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462D4695" w14:textId="77777777" w:rsidR="009E6058" w:rsidRPr="00CA225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Современные требования к управлению рисками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788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A225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788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A225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A225C" w14:paraId="5A1C9382" w14:textId="77777777" w:rsidTr="00801458">
        <w:tc>
          <w:tcPr>
            <w:tcW w:w="2336" w:type="dxa"/>
          </w:tcPr>
          <w:p w14:paraId="4C518DAB" w14:textId="77777777" w:rsidR="005D65A5" w:rsidRPr="00CA22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225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A22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225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A22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225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A22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22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A225C" w14:paraId="07658034" w14:textId="77777777" w:rsidTr="00801458">
        <w:tc>
          <w:tcPr>
            <w:tcW w:w="2336" w:type="dxa"/>
          </w:tcPr>
          <w:p w14:paraId="1553D698" w14:textId="78F29BFB" w:rsidR="005D65A5" w:rsidRPr="00CA22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A225C" w:rsidRDefault="007478E0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CA225C" w:rsidRDefault="007478E0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A225C" w:rsidRDefault="007478E0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A225C" w14:paraId="75CF6FB0" w14:textId="77777777" w:rsidTr="00801458">
        <w:tc>
          <w:tcPr>
            <w:tcW w:w="2336" w:type="dxa"/>
          </w:tcPr>
          <w:p w14:paraId="71DE13DF" w14:textId="77777777" w:rsidR="005D65A5" w:rsidRPr="00CA22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AD513D" w14:textId="77777777" w:rsidR="005D65A5" w:rsidRPr="00CA225C" w:rsidRDefault="007478E0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7127B7B" w14:textId="77777777" w:rsidR="005D65A5" w:rsidRPr="00CA225C" w:rsidRDefault="007478E0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B18144B" w14:textId="77777777" w:rsidR="005D65A5" w:rsidRPr="00CA225C" w:rsidRDefault="007478E0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CA225C" w14:paraId="7D519FD8" w14:textId="77777777" w:rsidTr="00801458">
        <w:tc>
          <w:tcPr>
            <w:tcW w:w="2336" w:type="dxa"/>
          </w:tcPr>
          <w:p w14:paraId="31FCA91A" w14:textId="77777777" w:rsidR="005D65A5" w:rsidRPr="00CA22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F00F28" w14:textId="77777777" w:rsidR="005D65A5" w:rsidRPr="00CA225C" w:rsidRDefault="007478E0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823AA9" w14:textId="77777777" w:rsidR="005D65A5" w:rsidRPr="00CA225C" w:rsidRDefault="007478E0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114A06" w14:textId="77777777" w:rsidR="005D65A5" w:rsidRPr="00CA225C" w:rsidRDefault="007478E0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CA225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A225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78837"/>
      <w:r w:rsidRPr="00CA225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B4A533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225C" w14:paraId="157ECDF4" w14:textId="77777777" w:rsidTr="00157BA7">
        <w:tc>
          <w:tcPr>
            <w:tcW w:w="562" w:type="dxa"/>
          </w:tcPr>
          <w:p w14:paraId="31AA8CC4" w14:textId="77777777" w:rsidR="00CA225C" w:rsidRPr="009E6058" w:rsidRDefault="00CA225C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E6F62B" w14:textId="77777777" w:rsidR="00CA225C" w:rsidRPr="00CA225C" w:rsidRDefault="00CA225C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22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67AD6A" w14:textId="77777777" w:rsidR="00CA225C" w:rsidRPr="00CA225C" w:rsidRDefault="00CA225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A225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78838"/>
      <w:r w:rsidRPr="00CA225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A225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A225C" w14:paraId="0267C479" w14:textId="77777777" w:rsidTr="00801458">
        <w:tc>
          <w:tcPr>
            <w:tcW w:w="2500" w:type="pct"/>
          </w:tcPr>
          <w:p w14:paraId="37F699C9" w14:textId="77777777" w:rsidR="00B8237E" w:rsidRPr="00CA22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225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A22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22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A225C" w14:paraId="3F240151" w14:textId="77777777" w:rsidTr="00801458">
        <w:tc>
          <w:tcPr>
            <w:tcW w:w="2500" w:type="pct"/>
          </w:tcPr>
          <w:p w14:paraId="61E91592" w14:textId="61A0874C" w:rsidR="00B8237E" w:rsidRPr="00CA225C" w:rsidRDefault="00B8237E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A225C" w:rsidRDefault="005C548A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A225C" w14:paraId="75D617AF" w14:textId="77777777" w:rsidTr="00801458">
        <w:tc>
          <w:tcPr>
            <w:tcW w:w="2500" w:type="pct"/>
          </w:tcPr>
          <w:p w14:paraId="3F6E0F3D" w14:textId="77777777" w:rsidR="00B8237E" w:rsidRPr="00CA225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C4B750B" w14:textId="77777777" w:rsidR="00B8237E" w:rsidRPr="00CA225C" w:rsidRDefault="005C548A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A225C" w14:paraId="7A52DD7E" w14:textId="77777777" w:rsidTr="00801458">
        <w:tc>
          <w:tcPr>
            <w:tcW w:w="2500" w:type="pct"/>
          </w:tcPr>
          <w:p w14:paraId="31579BF9" w14:textId="77777777" w:rsidR="00B8237E" w:rsidRPr="00CA225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9075BA1" w14:textId="77777777" w:rsidR="00B8237E" w:rsidRPr="00CA225C" w:rsidRDefault="005C548A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A225C" w14:paraId="2FF1A37F" w14:textId="77777777" w:rsidTr="00801458">
        <w:tc>
          <w:tcPr>
            <w:tcW w:w="2500" w:type="pct"/>
          </w:tcPr>
          <w:p w14:paraId="580818D8" w14:textId="77777777" w:rsidR="00B8237E" w:rsidRPr="00CA225C" w:rsidRDefault="00B8237E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9ADE9DD" w14:textId="77777777" w:rsidR="00B8237E" w:rsidRPr="00CA225C" w:rsidRDefault="005C548A" w:rsidP="00801458">
            <w:pPr>
              <w:rPr>
                <w:rFonts w:ascii="Times New Roman" w:hAnsi="Times New Roman" w:cs="Times New Roman"/>
              </w:rPr>
            </w:pPr>
            <w:r w:rsidRPr="00CA225C">
              <w:rPr>
                <w:rFonts w:ascii="Times New Roman" w:hAnsi="Times New Roman" w:cs="Times New Roman"/>
                <w:lang w:val="en-US"/>
              </w:rPr>
              <w:t>2,4-5</w:t>
            </w:r>
          </w:p>
        </w:tc>
      </w:tr>
    </w:tbl>
    <w:p w14:paraId="6EB485C6" w14:textId="6A0F7BEC" w:rsidR="00C23E7F" w:rsidRPr="00CA225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788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экзамен (или </w:t>
      </w:r>
      <w:r w:rsidRPr="00142518">
        <w:rPr>
          <w:rFonts w:ascii="Times New Roman" w:hAnsi="Times New Roman"/>
          <w:sz w:val="28"/>
          <w:szCs w:val="28"/>
        </w:rPr>
        <w:lastRenderedPageBreak/>
        <w:t>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49E76" w14:textId="77777777" w:rsidR="008A27C7" w:rsidRDefault="008A27C7" w:rsidP="00315CA6">
      <w:pPr>
        <w:spacing w:after="0" w:line="240" w:lineRule="auto"/>
      </w:pPr>
      <w:r>
        <w:separator/>
      </w:r>
    </w:p>
  </w:endnote>
  <w:endnote w:type="continuationSeparator" w:id="0">
    <w:p w14:paraId="240D2F64" w14:textId="77777777" w:rsidR="008A27C7" w:rsidRDefault="008A27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822167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FCB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629A9" w14:textId="77777777" w:rsidR="008A27C7" w:rsidRDefault="008A27C7" w:rsidP="00315CA6">
      <w:pPr>
        <w:spacing w:after="0" w:line="240" w:lineRule="auto"/>
      </w:pPr>
      <w:r>
        <w:separator/>
      </w:r>
    </w:p>
  </w:footnote>
  <w:footnote w:type="continuationSeparator" w:id="0">
    <w:p w14:paraId="5B177EC5" w14:textId="77777777" w:rsidR="008A27C7" w:rsidRDefault="008A27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7FCB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0CC7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27C7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5383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225C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369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7EEB4E6-D41D-4EA7-BE6C-D9E6BBA2B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8909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A0%D0%B8%D1%81%D0%BA-%D0%BC%D0%B5%D0%BD%D0%B5%D0%B4%D0%B6%D0%BC%D0%B5%D0%BD%D1%82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93057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78712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8865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4E0961-883C-4638-AE12-38695E731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4063</Words>
  <Characters>23161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